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right"/>
        <w:rPr>
          <w:szCs w:val="28"/>
        </w:rPr>
      </w:pPr>
      <w:r>
        <w:rPr>
          <w:szCs w:val="28"/>
        </w:rPr>
        <w:t>от ____________ № ___________</w:t>
      </w:r>
    </w:p>
    <w:p>
      <w:pPr>
        <w:pStyle w:val="Style20"/>
        <w:pBdr/>
        <w:jc w:val="right"/>
        <w:rPr>
          <w:szCs w:val="28"/>
        </w:rPr>
        <w:framePr w:w="4369" w:h="1288" w:x="0" w:y="-100" w:hSpace="180" w:vSpace="0" w:wrap="around" w:vAnchor="text" w:hAnchor="margin" w:hRule="exact"/>
        <w:pBdr/>
      </w:pPr>
      <w:r>
        <w:rPr>
          <w:szCs w:val="28"/>
        </w:rPr>
        <w:t>Приложение 2</w:t>
      </w:r>
    </w:p>
    <w:p>
      <w:pPr>
        <w:pStyle w:val="Style20"/>
        <w:pBdr/>
        <w:jc w:val="right"/>
        <w:rPr>
          <w:szCs w:val="28"/>
        </w:rPr>
        <w:framePr w:w="4369" w:h="1288" w:x="0" w:y="-100" w:hSpace="180" w:vSpace="0" w:wrap="around" w:vAnchor="text" w:hAnchor="margin" w:hRule="exact"/>
        <w:pBdr/>
      </w:pPr>
      <w:r>
        <w:rPr>
          <w:szCs w:val="28"/>
        </w:rPr>
        <w:t>к решению Городской Думы</w:t>
      </w:r>
    </w:p>
    <w:p>
      <w:pPr>
        <w:pStyle w:val="Style20"/>
        <w:pBdr/>
        <w:jc w:val="right"/>
        <w:rPr>
          <w:szCs w:val="28"/>
        </w:rPr>
        <w:framePr w:w="4369" w:h="1288" w:x="0" w:y="-100" w:hSpace="180" w:vSpace="0" w:wrap="around" w:vAnchor="text" w:hAnchor="margin" w:hRule="exact"/>
        <w:pBdr/>
      </w:pPr>
      <w:r>
        <w:rPr>
          <w:szCs w:val="28"/>
        </w:rPr>
        <w:t xml:space="preserve">муниципального образования </w:t>
      </w:r>
    </w:p>
    <w:p>
      <w:pPr>
        <w:pStyle w:val="Style20"/>
        <w:pBdr/>
        <w:jc w:val="right"/>
        <w:rPr>
          <w:szCs w:val="28"/>
        </w:rPr>
        <w:framePr w:w="4369" w:h="1288" w:x="0" w:y="-100" w:hSpace="180" w:vSpace="0" w:wrap="around" w:vAnchor="text" w:hAnchor="margin" w:hRule="exact"/>
        <w:pBdr/>
      </w:pPr>
      <w:r>
        <w:rPr>
          <w:szCs w:val="28"/>
        </w:rPr>
        <w:t>«Городской округ город Астрахань»</w:t>
      </w:r>
    </w:p>
    <w:p>
      <w:pPr>
        <w:pStyle w:val="Style20"/>
        <w:jc w:val="right"/>
        <w:rPr>
          <w:szCs w:val="28"/>
        </w:rPr>
      </w:pPr>
      <w:r>
        <w:rPr>
          <w:szCs w:val="28"/>
        </w:rPr>
      </w:r>
    </w:p>
    <w:p>
      <w:pPr>
        <w:pStyle w:val="Style20"/>
        <w:jc w:val="right"/>
        <w:rPr>
          <w:szCs w:val="28"/>
        </w:rPr>
      </w:pPr>
      <w:bookmarkStart w:id="0" w:name="_GoBack"/>
      <w:bookmarkEnd w:id="0"/>
      <w:r>
        <w:rPr>
          <w:szCs w:val="28"/>
        </w:rPr>
        <w:t xml:space="preserve">Приложение 3 </w:t>
      </w:r>
    </w:p>
    <w:p>
      <w:pPr>
        <w:pStyle w:val="Style20"/>
        <w:jc w:val="right"/>
        <w:rPr>
          <w:szCs w:val="28"/>
        </w:rPr>
      </w:pPr>
      <w:r>
        <w:rPr>
          <w:szCs w:val="28"/>
        </w:rPr>
        <w:t xml:space="preserve">к Положению </w:t>
      </w:r>
    </w:p>
    <w:p>
      <w:pPr>
        <w:pStyle w:val="Style20"/>
        <w:jc w:val="right"/>
        <w:rPr>
          <w:szCs w:val="28"/>
        </w:rPr>
      </w:pPr>
      <w:r>
        <w:rPr>
          <w:szCs w:val="28"/>
        </w:rPr>
        <w:t xml:space="preserve">о муниципальном контроле в сфере </w:t>
      </w:r>
    </w:p>
    <w:p>
      <w:pPr>
        <w:pStyle w:val="Style20"/>
        <w:jc w:val="right"/>
        <w:rPr>
          <w:szCs w:val="28"/>
        </w:rPr>
      </w:pPr>
      <w:r>
        <w:rPr>
          <w:szCs w:val="28"/>
        </w:rPr>
        <w:t>благоустройства на территории</w:t>
      </w:r>
    </w:p>
    <w:p>
      <w:pPr>
        <w:pStyle w:val="Style20"/>
        <w:jc w:val="right"/>
        <w:rPr>
          <w:szCs w:val="28"/>
        </w:rPr>
      </w:pPr>
      <w:r>
        <w:rPr>
          <w:szCs w:val="28"/>
        </w:rPr>
        <w:t>муниципального образования</w:t>
      </w:r>
    </w:p>
    <w:p>
      <w:pPr>
        <w:pStyle w:val="Style20"/>
        <w:jc w:val="right"/>
        <w:rPr>
          <w:szCs w:val="28"/>
        </w:rPr>
      </w:pPr>
      <w:r>
        <w:rPr>
          <w:szCs w:val="28"/>
        </w:rPr>
        <w:t xml:space="preserve"> </w:t>
      </w:r>
      <w:r>
        <w:rPr>
          <w:szCs w:val="28"/>
        </w:rPr>
        <w:t>«Городской округ город Астрахань»</w:t>
      </w:r>
    </w:p>
    <w:p>
      <w:pPr>
        <w:pStyle w:val="Style20"/>
        <w:ind w:firstLine="567"/>
        <w:rPr>
          <w:szCs w:val="28"/>
        </w:rPr>
      </w:pPr>
      <w:r>
        <w:rPr>
          <w:szCs w:val="28"/>
        </w:rPr>
      </w:r>
    </w:p>
    <w:p>
      <w:pPr>
        <w:pStyle w:val="Style20"/>
        <w:ind w:firstLine="567"/>
        <w:rPr>
          <w:szCs w:val="28"/>
        </w:rPr>
      </w:pPr>
      <w:r>
        <w:rPr>
          <w:szCs w:val="28"/>
        </w:rPr>
      </w:r>
    </w:p>
    <w:p>
      <w:pPr>
        <w:pStyle w:val="Style20"/>
        <w:ind w:firstLine="567"/>
        <w:rPr>
          <w:szCs w:val="28"/>
        </w:rPr>
      </w:pPr>
      <w:r>
        <w:rPr>
          <w:szCs w:val="28"/>
        </w:rPr>
      </w:r>
    </w:p>
    <w:p>
      <w:pPr>
        <w:pStyle w:val="Style20"/>
        <w:ind w:firstLine="567"/>
        <w:rPr>
          <w:szCs w:val="28"/>
        </w:rPr>
      </w:pPr>
      <w:r>
        <w:rPr>
          <w:szCs w:val="28"/>
        </w:rPr>
      </w:r>
    </w:p>
    <w:p>
      <w:pPr>
        <w:pStyle w:val="Style20"/>
        <w:ind w:firstLine="567"/>
        <w:jc w:val="center"/>
        <w:rPr>
          <w:b/>
          <w:b/>
          <w:szCs w:val="28"/>
        </w:rPr>
      </w:pPr>
      <w:r>
        <w:rPr>
          <w:b/>
          <w:szCs w:val="28"/>
        </w:rPr>
        <w:t xml:space="preserve">Ключевые показатели </w:t>
      </w:r>
    </w:p>
    <w:p>
      <w:pPr>
        <w:pStyle w:val="Style20"/>
        <w:ind w:firstLine="567"/>
        <w:jc w:val="center"/>
        <w:rPr>
          <w:b/>
          <w:b/>
          <w:szCs w:val="28"/>
        </w:rPr>
      </w:pPr>
      <w:r>
        <w:rPr>
          <w:b/>
          <w:szCs w:val="28"/>
        </w:rPr>
        <w:t>муниципального контроля и их целевые значения,</w:t>
      </w:r>
    </w:p>
    <w:p>
      <w:pPr>
        <w:pStyle w:val="Style20"/>
        <w:ind w:firstLine="567"/>
        <w:jc w:val="center"/>
        <w:rPr>
          <w:b/>
          <w:b/>
          <w:szCs w:val="28"/>
        </w:rPr>
      </w:pPr>
      <w:r>
        <w:rPr>
          <w:b/>
          <w:szCs w:val="28"/>
        </w:rPr>
        <w:t>индикативные показатели</w:t>
      </w:r>
    </w:p>
    <w:p>
      <w:pPr>
        <w:pStyle w:val="Style20"/>
        <w:ind w:firstLine="567"/>
        <w:jc w:val="center"/>
        <w:rPr>
          <w:szCs w:val="28"/>
        </w:rPr>
      </w:pPr>
      <w:r>
        <w:rPr>
          <w:szCs w:val="28"/>
        </w:rPr>
      </w:r>
    </w:p>
    <w:p>
      <w:pPr>
        <w:pStyle w:val="Normal"/>
        <w:widowControl/>
        <w:shd w:val="clear" w:color="auto" w:fill="FFFFFF"/>
        <w:suppressAutoHyphens w:val="false"/>
        <w:ind w:firstLine="480"/>
        <w:jc w:val="both"/>
        <w:textAlignment w:val="baseline"/>
        <w:rPr>
          <w:rFonts w:eastAsia="Times New Roman"/>
          <w:kern w:val="0"/>
          <w:sz w:val="28"/>
          <w:lang w:eastAsia="ru-RU"/>
        </w:rPr>
      </w:pPr>
      <w:r>
        <w:rPr>
          <w:rFonts w:eastAsia="Times New Roman"/>
          <w:kern w:val="0"/>
          <w:sz w:val="28"/>
          <w:lang w:eastAsia="ru-RU"/>
        </w:rPr>
        <w:t>Доля объектов контроля, применительно к которым были установлены факты причинения вреда жизни и здоровью граждан в результате нарушения обязательных требований в сфере благоустройства.</w:t>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t>Целевое значение ключевого показателя - 0.</w:t>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t>Формула расчета ключевого показателя:</w:t>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r>
    </w:p>
    <w:p>
      <w:pPr>
        <w:pStyle w:val="Normal"/>
        <w:widowControl/>
        <w:shd w:val="clear" w:color="auto" w:fill="FFFFFF"/>
        <w:suppressAutoHyphens w:val="false"/>
        <w:ind w:firstLine="480"/>
        <w:jc w:val="center"/>
        <w:textAlignment w:val="baseline"/>
        <w:rPr>
          <w:rFonts w:eastAsia="Times New Roman"/>
          <w:kern w:val="0"/>
          <w:sz w:val="28"/>
          <w:lang w:eastAsia="ru-RU"/>
        </w:rPr>
      </w:pPr>
      <w:r>
        <w:rPr/>
      </w:r>
      <m:oMathPara xmlns:m="http://schemas.openxmlformats.org/officeDocument/2006/math">
        <m:oMathParaPr>
          <m:jc m:val="center"/>
        </m:oMathParaPr>
        <m:oMath>
          <m:f>
            <m:num>
              <m:r>
                <w:rPr>
                  <w:rFonts w:ascii="Cambria Math" w:hAnsi="Cambria Math"/>
                </w:rPr>
                <m:t xml:space="preserve">N</m:t>
              </m:r>
              <m:r>
                <w:rPr>
                  <w:rFonts w:ascii="Cambria Math" w:hAnsi="Cambria Math"/>
                </w:rPr>
                <m:t xml:space="preserve">вр</m:t>
              </m:r>
            </m:num>
            <m:den>
              <m:r>
                <w:rPr>
                  <w:rFonts w:ascii="Cambria Math" w:hAnsi="Cambria Math"/>
                </w:rPr>
                <m:t xml:space="preserve">Nобщ</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oMath>
      </m:oMathPara>
    </w:p>
    <w:p>
      <w:pPr>
        <w:pStyle w:val="Normal"/>
        <w:widowControl/>
        <w:shd w:val="clear" w:color="auto" w:fill="FFFFFF"/>
        <w:suppressAutoHyphens w:val="false"/>
        <w:ind w:firstLine="480"/>
        <w:jc w:val="center"/>
        <w:textAlignment w:val="baseline"/>
        <w:rPr>
          <w:rFonts w:eastAsia="Times New Roman"/>
          <w:kern w:val="0"/>
          <w:sz w:val="28"/>
          <w:lang w:val="en-US" w:eastAsia="ru-RU"/>
        </w:rPr>
      </w:pPr>
      <w:r>
        <w:rPr>
          <w:rFonts w:eastAsia="Times New Roman"/>
          <w:kern w:val="0"/>
          <w:sz w:val="28"/>
          <w:lang w:val="en-US" w:eastAsia="ru-RU"/>
        </w:rPr>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t>где:</w:t>
      </w:r>
    </w:p>
    <w:p>
      <w:pPr>
        <w:pStyle w:val="Normal"/>
        <w:widowControl/>
        <w:shd w:val="clear" w:color="auto" w:fill="FFFFFF"/>
        <w:suppressAutoHyphens w:val="false"/>
        <w:ind w:firstLine="480"/>
        <w:jc w:val="both"/>
        <w:textAlignment w:val="baseline"/>
        <w:rPr>
          <w:rFonts w:eastAsia="Times New Roman"/>
          <w:kern w:val="0"/>
          <w:sz w:val="28"/>
          <w:lang w:eastAsia="ru-RU"/>
        </w:rPr>
      </w:pPr>
      <w:r>
        <w:rPr/>
      </w:r>
      <m:oMath xmlns:m="http://schemas.openxmlformats.org/officeDocument/2006/math">
        <m:r>
          <w:rPr>
            <w:rFonts w:ascii="Cambria Math" w:hAnsi="Cambria Math"/>
          </w:rPr>
          <m:t xml:space="preserve">N</m:t>
        </m:r>
        <m:r>
          <w:rPr>
            <w:rFonts w:ascii="Cambria Math" w:hAnsi="Cambria Math"/>
          </w:rPr>
          <m:t xml:space="preserve">вр</m:t>
        </m:r>
      </m:oMath>
      <w:r>
        <w:rPr>
          <w:rFonts w:eastAsia="Times New Roman"/>
          <w:kern w:val="0"/>
          <w:sz w:val="28"/>
          <w:lang w:eastAsia="ru-RU"/>
        </w:rPr>
        <w:t xml:space="preserve"> </w:t>
      </w:r>
      <w:r>
        <w:rPr>
          <w:rFonts w:eastAsia="Times New Roman"/>
          <w:kern w:val="0"/>
          <w:sz w:val="28"/>
          <w:lang w:eastAsia="ru-RU"/>
        </w:rPr>
        <w:t>- количество объектов контроля, применительно к которым вступившим в законную силу решением суда подтверждено причинение вреда жизни или тяжкого вреда здоровью в результате нарушения обязательных требований в сфере благоустройства;</w:t>
      </w:r>
    </w:p>
    <w:p>
      <w:pPr>
        <w:pStyle w:val="Normal"/>
        <w:widowControl/>
        <w:shd w:val="clear" w:color="auto" w:fill="FFFFFF"/>
        <w:suppressAutoHyphens w:val="false"/>
        <w:ind w:firstLine="480"/>
        <w:textAlignment w:val="baseline"/>
        <w:rPr>
          <w:rFonts w:eastAsia="Times New Roman"/>
          <w:kern w:val="0"/>
          <w:sz w:val="28"/>
          <w:lang w:eastAsia="ru-RU"/>
        </w:rPr>
      </w:pPr>
      <w:r>
        <w:rPr/>
      </w:r>
      <m:oMath xmlns:m="http://schemas.openxmlformats.org/officeDocument/2006/math">
        <m:r>
          <w:rPr>
            <w:rFonts w:ascii="Cambria Math" w:hAnsi="Cambria Math"/>
          </w:rPr>
          <m:t xml:space="preserve">Nобщ</m:t>
        </m:r>
      </m:oMath>
      <w:r>
        <w:rPr>
          <w:rFonts w:eastAsia="Times New Roman"/>
          <w:kern w:val="0"/>
          <w:sz w:val="28"/>
          <w:lang w:eastAsia="ru-RU"/>
        </w:rPr>
        <w:t xml:space="preserve"> </w:t>
      </w:r>
      <w:r>
        <w:rPr>
          <w:rFonts w:eastAsia="Times New Roman"/>
          <w:kern w:val="0"/>
          <w:sz w:val="28"/>
          <w:lang w:eastAsia="ru-RU"/>
        </w:rPr>
        <w:t>- общее количество учтенных объектов контроля.</w:t>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r>
    </w:p>
    <w:p>
      <w:pPr>
        <w:pStyle w:val="Normal"/>
        <w:widowControl/>
        <w:shd w:val="clear" w:color="auto" w:fill="FFFFFF"/>
        <w:suppressAutoHyphens w:val="false"/>
        <w:ind w:firstLine="567"/>
        <w:jc w:val="center"/>
        <w:textAlignment w:val="baseline"/>
        <w:rPr>
          <w:rFonts w:eastAsia="Times New Roman"/>
          <w:b/>
          <w:b/>
          <w:kern w:val="0"/>
          <w:sz w:val="28"/>
          <w:lang w:eastAsia="ru-RU"/>
        </w:rPr>
      </w:pPr>
      <w:r>
        <w:rPr>
          <w:rFonts w:eastAsia="Times New Roman"/>
          <w:b/>
          <w:kern w:val="0"/>
          <w:sz w:val="28"/>
          <w:lang w:eastAsia="ru-RU"/>
        </w:rPr>
      </w:r>
    </w:p>
    <w:p>
      <w:pPr>
        <w:pStyle w:val="Normal"/>
        <w:widowControl/>
        <w:shd w:val="clear" w:color="auto" w:fill="FFFFFF"/>
        <w:suppressAutoHyphens w:val="false"/>
        <w:ind w:firstLine="567"/>
        <w:jc w:val="center"/>
        <w:textAlignment w:val="baseline"/>
        <w:rPr>
          <w:rFonts w:eastAsia="Times New Roman"/>
          <w:b/>
          <w:b/>
          <w:kern w:val="0"/>
          <w:sz w:val="28"/>
          <w:lang w:eastAsia="ru-RU"/>
        </w:rPr>
      </w:pPr>
      <w:r>
        <w:rPr>
          <w:rFonts w:eastAsia="Times New Roman"/>
          <w:b/>
          <w:kern w:val="0"/>
          <w:sz w:val="28"/>
          <w:lang w:eastAsia="ru-RU"/>
        </w:rPr>
        <w:t>Индикативные показатели</w:t>
      </w:r>
    </w:p>
    <w:p>
      <w:pPr>
        <w:pStyle w:val="Normal"/>
        <w:widowControl/>
        <w:shd w:val="clear" w:color="auto" w:fill="FFFFFF"/>
        <w:suppressAutoHyphens w:val="false"/>
        <w:ind w:firstLine="567"/>
        <w:jc w:val="both"/>
        <w:textAlignment w:val="baseline"/>
        <w:rPr>
          <w:rFonts w:eastAsia="Times New Roman"/>
          <w:kern w:val="0"/>
          <w:sz w:val="28"/>
          <w:lang w:eastAsia="ru-RU"/>
        </w:rPr>
      </w:pPr>
      <w:r>
        <w:rPr>
          <w:rFonts w:eastAsia="Times New Roman"/>
          <w:kern w:val="0"/>
          <w:sz w:val="28"/>
          <w:lang w:eastAsia="ru-RU"/>
        </w:rPr>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плановых контрольных мероприятий, проведенных за отчетный период.</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внеплановых контрольных мероприятий, проведенных за отчетный период.</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Общее количество контрольных мероприятий, проведенных за отчетный период без взаимодействия с контролируемым лицом.</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Общее количество контрольных мероприятий, проведенных за отчетный период при взаимодействии с контролируемым лицом.</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контрольных мероприятий, по результатам которых выявлены нарушения обязательных требований.</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направленных в органы прокуратуры заявлений о согласовании проведения внеплановых контрольных мероприятий за отчетный период.</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направленных в органы прокуратуры заявлений о согласовании проведения внеплановых контрольных мероприятий, по которым органами прокуратуры принято решение о согласовании проведения внепланового контрольного мероприятия, за отчетный период.</w:t>
      </w:r>
    </w:p>
    <w:p>
      <w:pPr>
        <w:pStyle w:val="Style20"/>
        <w:rPr>
          <w:szCs w:val="28"/>
        </w:rPr>
      </w:pPr>
      <w:r>
        <w:rPr/>
      </w:r>
    </w:p>
    <w:sectPr>
      <w:type w:val="nextPage"/>
      <w:pgSz w:w="11906" w:h="16838"/>
      <w:pgMar w:left="1134" w:right="567"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5aaa"/>
    <w:pPr>
      <w:widowControl w:val="false"/>
      <w:suppressAutoHyphens w:val="true"/>
      <w:bidi w:val="0"/>
      <w:spacing w:lineRule="auto" w:line="240" w:before="0" w:after="0"/>
      <w:jc w:val="left"/>
    </w:pPr>
    <w:rPr>
      <w:rFonts w:ascii="Times New Roman" w:hAnsi="Times New Roman" w:eastAsia="Lucida Sans Unicode" w:cs="Times New Roman"/>
      <w:color w:val="auto"/>
      <w:kern w:val="2"/>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qFormat/>
    <w:rsid w:val="00a95aaa"/>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a6"/>
    <w:uiPriority w:val="99"/>
    <w:semiHidden/>
    <w:qFormat/>
    <w:rsid w:val="00a95aaa"/>
    <w:rPr>
      <w:rFonts w:ascii="Tahoma" w:hAnsi="Tahoma" w:eastAsia="Lucida Sans Unicode" w:cs="Tahoma"/>
      <w:kern w:val="2"/>
      <w:sz w:val="16"/>
      <w:szCs w:val="16"/>
    </w:rPr>
  </w:style>
  <w:style w:type="character" w:styleId="Style16" w:customStyle="1">
    <w:name w:val="Верхний колонтитул Знак"/>
    <w:basedOn w:val="DefaultParagraphFont"/>
    <w:link w:val="aa"/>
    <w:uiPriority w:val="99"/>
    <w:qFormat/>
    <w:rsid w:val="00ae1b06"/>
    <w:rPr>
      <w:rFonts w:ascii="Times New Roman" w:hAnsi="Times New Roman" w:eastAsia="Lucida Sans Unicode" w:cs="Times New Roman"/>
      <w:kern w:val="2"/>
      <w:sz w:val="24"/>
      <w:szCs w:val="24"/>
    </w:rPr>
  </w:style>
  <w:style w:type="character" w:styleId="Style17" w:customStyle="1">
    <w:name w:val="Нижний колонтитул Знак"/>
    <w:basedOn w:val="DefaultParagraphFont"/>
    <w:link w:val="ac"/>
    <w:uiPriority w:val="99"/>
    <w:qFormat/>
    <w:rsid w:val="00ae1b06"/>
    <w:rPr>
      <w:rFonts w:ascii="Times New Roman" w:hAnsi="Times New Roman" w:eastAsia="Lucida Sans Unicode" w:cs="Times New Roman"/>
      <w:kern w:val="2"/>
      <w:sz w:val="24"/>
      <w:szCs w:val="24"/>
    </w:rPr>
  </w:style>
  <w:style w:type="character" w:styleId="Style18">
    <w:name w:val="Интернет-ссылка"/>
    <w:rsid w:val="00165fa9"/>
    <w:rPr>
      <w:color w:val="0000FF"/>
      <w:u w:val="single"/>
    </w:rPr>
  </w:style>
  <w:style w:type="character" w:styleId="PlaceholderText">
    <w:name w:val="Placeholder Text"/>
    <w:basedOn w:val="DefaultParagraphFont"/>
    <w:uiPriority w:val="99"/>
    <w:semiHidden/>
    <w:qFormat/>
    <w:rsid w:val="00f83f45"/>
    <w:rPr>
      <w:color w:val="808080"/>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5"/>
    <w:rsid w:val="00a95aaa"/>
    <w:pPr>
      <w:widowControl/>
      <w:suppressAutoHyphens w:val="false"/>
      <w:jc w:val="both"/>
    </w:pPr>
    <w:rPr>
      <w:rFonts w:eastAsia="Times New Roman"/>
      <w:kern w:val="0"/>
      <w:sz w:val="28"/>
      <w:szCs w:val="20"/>
      <w:lang w:eastAsia="ru-RU"/>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customStyle="1">
    <w:name w:val="Содержимое таблицы"/>
    <w:basedOn w:val="Normal"/>
    <w:qFormat/>
    <w:rsid w:val="00a95aaa"/>
    <w:pPr>
      <w:suppressLineNumbers/>
    </w:pPr>
    <w:rPr/>
  </w:style>
  <w:style w:type="paragraph" w:styleId="BalloonText">
    <w:name w:val="Balloon Text"/>
    <w:basedOn w:val="Normal"/>
    <w:link w:val="a7"/>
    <w:uiPriority w:val="99"/>
    <w:semiHidden/>
    <w:unhideWhenUsed/>
    <w:qFormat/>
    <w:rsid w:val="00a95aaa"/>
    <w:pPr/>
    <w:rPr>
      <w:rFonts w:ascii="Tahoma" w:hAnsi="Tahoma" w:cs="Tahoma"/>
      <w:sz w:val="16"/>
      <w:szCs w:val="16"/>
    </w:rPr>
  </w:style>
  <w:style w:type="paragraph" w:styleId="ListParagraph">
    <w:name w:val="List Paragraph"/>
    <w:basedOn w:val="Normal"/>
    <w:uiPriority w:val="34"/>
    <w:qFormat/>
    <w:rsid w:val="00391ce5"/>
    <w:pPr>
      <w:spacing w:before="0" w:after="0"/>
      <w:ind w:left="720" w:hanging="0"/>
      <w:contextualSpacing/>
    </w:pPr>
    <w:rPr/>
  </w:style>
  <w:style w:type="paragraph" w:styleId="Style25">
    <w:name w:val="Верхний и нижний колонтитулы"/>
    <w:basedOn w:val="Normal"/>
    <w:qFormat/>
    <w:pPr/>
    <w:rPr/>
  </w:style>
  <w:style w:type="paragraph" w:styleId="Style26">
    <w:name w:val="Header"/>
    <w:basedOn w:val="Normal"/>
    <w:link w:val="ab"/>
    <w:uiPriority w:val="99"/>
    <w:unhideWhenUsed/>
    <w:rsid w:val="00ae1b06"/>
    <w:pPr>
      <w:tabs>
        <w:tab w:val="clear" w:pos="708"/>
        <w:tab w:val="center" w:pos="4677" w:leader="none"/>
        <w:tab w:val="right" w:pos="9355" w:leader="none"/>
      </w:tabs>
    </w:pPr>
    <w:rPr/>
  </w:style>
  <w:style w:type="paragraph" w:styleId="Style27">
    <w:name w:val="Footer"/>
    <w:basedOn w:val="Normal"/>
    <w:link w:val="ad"/>
    <w:uiPriority w:val="99"/>
    <w:unhideWhenUsed/>
    <w:rsid w:val="00ae1b06"/>
    <w:pPr>
      <w:tabs>
        <w:tab w:val="clear" w:pos="708"/>
        <w:tab w:val="center" w:pos="4677" w:leader="none"/>
        <w:tab w:val="right" w:pos="9355" w:leader="none"/>
      </w:tabs>
    </w:pPr>
    <w:rPr/>
  </w:style>
  <w:style w:type="paragraph" w:styleId="ConsPlusNormal" w:customStyle="1">
    <w:name w:val="ConsPlusNormal"/>
    <w:qFormat/>
    <w:rsid w:val="0014365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143656"/>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21" w:customStyle="1">
    <w:name w:val="Знак Знак Знак2 Знак Знак Знак Знак Знак Знак Знак Знак Знак Знак Знак Знак1 Знак"/>
    <w:basedOn w:val="Normal"/>
    <w:qFormat/>
    <w:rsid w:val="00940399"/>
    <w:pPr>
      <w:widowControl/>
      <w:suppressAutoHyphens w:val="false"/>
      <w:spacing w:lineRule="exact" w:line="240" w:before="0" w:after="160"/>
    </w:pPr>
    <w:rPr>
      <w:rFonts w:ascii="Tahoma" w:hAnsi="Tahoma" w:eastAsia="Times New Roman"/>
      <w:kern w:val="0"/>
      <w:sz w:val="20"/>
      <w:szCs w:val="20"/>
      <w:lang w:val="en-US"/>
    </w:rPr>
  </w:style>
  <w:style w:type="paragraph" w:styleId="ConsPlusTitle" w:customStyle="1">
    <w:name w:val="ConsPlusTitle"/>
    <w:qFormat/>
    <w:rsid w:val="00940399"/>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940399"/>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2" w:customStyle="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337581"/>
    <w:pPr>
      <w:widowControl/>
      <w:suppressAutoHyphens w:val="false"/>
      <w:spacing w:beforeAutospacing="1" w:afterAutospacing="1"/>
      <w:jc w:val="both"/>
    </w:pPr>
    <w:rPr>
      <w:rFonts w:ascii="Tahoma" w:hAnsi="Tahoma" w:eastAsia="Times New Roman"/>
      <w:kern w:val="0"/>
      <w:sz w:val="20"/>
      <w:szCs w:val="20"/>
      <w:lang w:val="en-US"/>
    </w:rPr>
  </w:style>
  <w:style w:type="paragraph" w:styleId="212" w:customStyle="1">
    <w:name w:val="Знак Знак Знак2 Знак Знак Знак Знак Знак Знак Знак Знак Знак Знак Знак Знак1 Знак2"/>
    <w:basedOn w:val="Normal"/>
    <w:qFormat/>
    <w:rsid w:val="00355a31"/>
    <w:pPr>
      <w:widowControl/>
      <w:suppressAutoHyphens w:val="false"/>
      <w:spacing w:lineRule="exact" w:line="240" w:before="0" w:after="160"/>
    </w:pPr>
    <w:rPr>
      <w:rFonts w:ascii="Tahoma" w:hAnsi="Tahoma" w:eastAsia="Times New Roman"/>
      <w:kern w:val="0"/>
      <w:sz w:val="20"/>
      <w:szCs w:val="20"/>
      <w:lang w:val="en-US"/>
    </w:rPr>
  </w:style>
  <w:style w:type="paragraph" w:styleId="211" w:customStyle="1">
    <w:name w:val="Знак Знак Знак2 Знак Знак Знак Знак Знак Знак Знак Знак Знак Знак Знак Знак1 Знак1"/>
    <w:basedOn w:val="Normal"/>
    <w:qFormat/>
    <w:rsid w:val="00104d42"/>
    <w:pPr>
      <w:widowControl/>
      <w:suppressAutoHyphens w:val="false"/>
      <w:spacing w:lineRule="exact" w:line="240" w:before="0" w:after="160"/>
    </w:pPr>
    <w:rPr>
      <w:rFonts w:ascii="Tahoma" w:hAnsi="Tahoma" w:eastAsia="Times New Roman"/>
      <w:kern w:val="0"/>
      <w:sz w:val="20"/>
      <w:szCs w:val="20"/>
      <w:lang w:val="en-US"/>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8a15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461d3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83F8-CC73-4CD6-B5B5-42BBEC21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LibreOffice/7.0.3.1$Windows_X86_64 LibreOffice_project/d7547858d014d4cf69878db179d326fc3483e082</Application>
  <Pages>2</Pages>
  <Words>216</Words>
  <Characters>1628</Characters>
  <CharactersWithSpaces>1817</CharactersWithSpaces>
  <Paragraphs>29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2023-02-24T08:00:00Z</dcterms:created>
  <dc:creator>Adgigtov</dc:creator>
  <dc:description/>
  <dc:language>ru-RU</dc:language>
  <cp:lastModifiedBy>Садырова Анастасия Павловна</cp:lastModifiedBy>
  <cp:lastPrinted>2023-06-17T14:07:00Z</cp:lastPrinted>
  <dcterms:modified xsi:type="dcterms:W3CDTF">2023-06-30T06:40:00Z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