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Т Ч Ё Т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 деятельности депутата Городской Думы муниципального образования «Город Астрахань» Житерева И.Г.  за 2017 год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</w:p>
    <w:p>
      <w:pPr>
        <w:pStyle w:val="NoSpacing"/>
        <w:widowControl/>
        <w:tabs>
          <w:tab w:val="left" w:pos="56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рамках  </w:t>
      </w:r>
      <w:r>
        <w:rPr>
          <w:rFonts w:cs="Times New Roman" w:ascii="Times New Roman" w:hAnsi="Times New Roman"/>
          <w:sz w:val="28"/>
          <w:szCs w:val="28"/>
        </w:rPr>
        <w:t>реализации наказов избирателей депутатам Городской Думы муниципального образования «Город Астрахань» на 2017 год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были проведены следующие работы:</w:t>
      </w:r>
    </w:p>
    <w:p>
      <w:pPr>
        <w:pStyle w:val="NoSpacing"/>
        <w:tabs>
          <w:tab w:val="left" w:pos="567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 Ремонт асфальтового покрытия придомовой территории по ул. В. Барсовой, д.14; ул. Адмиралтейская, д. 6;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 Замена асфальтового покрытия придомовой территории по ул. Ульяновых, д.3;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 Изготовление и установка ограждения (забора) по ул. Бэра, д.20.;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4. Установка малых архитектурных форм по ул. Академика Королева, д.22; ул. Студенческой, д.7;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5. Изготовление и установка архитектурного знака «Я люблю Астрахань»;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6. Благоустройство </w:t>
      </w:r>
      <w:r>
        <w:rPr>
          <w:rFonts w:cs="Times New Roman" w:ascii="Times New Roman" w:hAnsi="Times New Roman"/>
          <w:color w:val="000000"/>
          <w:sz w:val="28"/>
          <w:szCs w:val="28"/>
        </w:rPr>
        <w:t>Н</w:t>
      </w:r>
      <w:r>
        <w:rPr>
          <w:rFonts w:cs="Times New Roman" w:ascii="Times New Roman" w:hAnsi="Times New Roman"/>
          <w:color w:val="000000"/>
          <w:sz w:val="28"/>
          <w:szCs w:val="28"/>
        </w:rPr>
        <w:t>абережной р. Волга «Петровская».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7. Поставка тротуарной бетонной плитки для благоустройства Аллеи </w:t>
      </w:r>
      <w:r>
        <w:rPr>
          <w:rFonts w:cs="Times New Roman" w:ascii="Times New Roman" w:hAnsi="Times New Roman"/>
          <w:color w:val="000000"/>
          <w:sz w:val="28"/>
          <w:szCs w:val="28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амяти и </w:t>
      </w:r>
      <w:r>
        <w:rPr>
          <w:rFonts w:cs="Times New Roman" w:ascii="Times New Roman" w:hAnsi="Times New Roman"/>
          <w:color w:val="00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лавы спецназа;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8. Замена оконных блоков в МБДОУ г. Астрахани «Детский сад № 50»;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9. Ремонтные работы в МБОУ г. Астрахани «Гимназия № 3» (обособленное подразделение);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10. Ремонт, развитие материально-технической базы МКУК «Централизованная городская библиотечная система».</w:t>
      </w:r>
    </w:p>
    <w:p>
      <w:pPr>
        <w:pStyle w:val="NoSpacing"/>
        <w:widowControl/>
        <w:tabs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Также в 2017 году </w:t>
      </w: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Городск</w:t>
      </w:r>
      <w:r>
        <w:rPr>
          <w:rFonts w:cs="Times New Roman" w:ascii="Times New Roman" w:hAnsi="Times New Roman"/>
          <w:sz w:val="28"/>
          <w:szCs w:val="28"/>
        </w:rPr>
        <w:t>ую</w:t>
      </w:r>
      <w:r>
        <w:rPr>
          <w:rFonts w:cs="Times New Roman" w:ascii="Times New Roman" w:hAnsi="Times New Roman"/>
          <w:sz w:val="28"/>
          <w:szCs w:val="28"/>
        </w:rPr>
        <w:t xml:space="preserve"> Дум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«Город Астрахань» мной внесен ряд нормотворческих инициатив.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дна из </w:t>
      </w:r>
      <w:r>
        <w:rPr>
          <w:rFonts w:cs="Times New Roman" w:ascii="Times New Roman" w:hAnsi="Times New Roman"/>
          <w:sz w:val="28"/>
          <w:szCs w:val="28"/>
        </w:rPr>
        <w:t>них</w:t>
      </w:r>
      <w:r>
        <w:rPr>
          <w:rFonts w:cs="Times New Roman" w:ascii="Times New Roman" w:hAnsi="Times New Roman"/>
          <w:sz w:val="28"/>
          <w:szCs w:val="28"/>
        </w:rPr>
        <w:t xml:space="preserve"> обрела форму Закона Астраханской области, другие - форму правовых актов муниципального образования «Город Астрахань».</w:t>
      </w:r>
    </w:p>
    <w:p>
      <w:pPr>
        <w:pStyle w:val="NoSpacing"/>
        <w:widowControl/>
        <w:tabs>
          <w:tab w:val="left" w:pos="56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 стал 2017 год исключением и для личных встреч с избирателями и активом общественных организаций.</w:t>
      </w:r>
    </w:p>
    <w:p>
      <w:pPr>
        <w:pStyle w:val="NoSpacing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декабре 2017 года мной создан личный кабинет </w:t>
      </w:r>
      <w:hyperlink r:id="rId2">
        <w:r>
          <w:rPr>
            <w:rStyle w:val="Style14"/>
            <w:rFonts w:cs="Arial" w:ascii="Arial" w:hAnsi="Arial"/>
            <w:sz w:val="23"/>
            <w:szCs w:val="23"/>
            <w:highlight w:val="white"/>
          </w:rPr>
          <w:t>http://moydeputat.ru/zhiterev30</w:t>
        </w:r>
      </w:hyperlink>
      <w:r>
        <w:rPr>
          <w:rStyle w:val="Style14"/>
          <w:rFonts w:cs="Arial" w:ascii="Arial" w:hAnsi="Arial"/>
          <w:sz w:val="23"/>
          <w:szCs w:val="23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электронной приемной депутата</w:t>
      </w:r>
      <w:r>
        <w:rPr>
          <w:rFonts w:cs="Arial" w:ascii="Arial" w:hAnsi="Arial"/>
          <w:color w:val="000000"/>
          <w:sz w:val="23"/>
          <w:szCs w:val="23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онлайн-сервиса «Ассистент депутата»</w:t>
      </w:r>
      <w:r>
        <w:rPr>
          <w:rFonts w:cs="Times New Roman" w:ascii="Times New Roman" w:hAnsi="Times New Roman"/>
          <w:sz w:val="28"/>
          <w:szCs w:val="28"/>
        </w:rPr>
        <w:t xml:space="preserve">, где каждый астраханец может задать мне вопрос или сообщить о проблеме, и я отвечу каждому в максимально короткий срок. </w:t>
      </w:r>
    </w:p>
    <w:p>
      <w:pPr>
        <w:pStyle w:val="NoSpacing"/>
        <w:widowControl/>
        <w:tabs>
          <w:tab w:val="left" w:pos="567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 последнее. Ниже привожу </w:t>
      </w:r>
      <w:r>
        <w:rPr>
          <w:rFonts w:cs="Times New Roman" w:ascii="Times New Roman" w:hAnsi="Times New Roman"/>
          <w:color w:val="000000"/>
          <w:sz w:val="28"/>
          <w:szCs w:val="28"/>
        </w:rPr>
        <w:t>справочную информацию о ежемесячных выплатах в связи с рождением детей, введенных с 1 января 2018 года на территории Астраханской области, которая поможет многим горожанам законно реализовать свое право на  социальное обеспечение:</w:t>
      </w:r>
    </w:p>
    <w:p>
      <w:pPr>
        <w:pStyle w:val="NoSpacing"/>
        <w:tabs>
          <w:tab w:val="left" w:pos="567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184"/>
        <w:gridCol w:w="2443"/>
        <w:gridCol w:w="2441"/>
        <w:gridCol w:w="2501"/>
      </w:tblGrid>
      <w:tr>
        <w:trPr/>
        <w:tc>
          <w:tcPr>
            <w:tcW w:w="21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Ежемесячная выплата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 связи с рождением (усыновлением) первого ребенка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после 1 января 2018 года (включительно)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Ежемесячная выплата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в связи с рождением (усыновлением) второго ребенка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после 1 января 2018 года (включительно)</w:t>
            </w:r>
          </w:p>
        </w:tc>
        <w:tc>
          <w:tcPr>
            <w:tcW w:w="25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Ежемесячная денежная выплата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в случае рождения третьего ребенка или последующих детей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после 1 января 2018 года (включительно)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Основание предоставления выплаты</w:t>
            </w:r>
          </w:p>
        </w:tc>
        <w:tc>
          <w:tcPr>
            <w:tcW w:w="24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Федеральный закон от 28.12.2017 № 418-ФЗ «О ежемесячных выплатах семьям, имеющим детей» (инициирован Президентом Российской Федерации)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Федеральный закон от 28.12.2017 № 418-ФЗ «О ежемесячных выплатах семьям, имеющим детей» (инициирован Президентом Российской Федерации)</w:t>
            </w:r>
          </w:p>
        </w:tc>
        <w:tc>
          <w:tcPr>
            <w:tcW w:w="25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Указ Президента РФ от 07.05.2012 № 606 «О мерах по реализации демографической политики Российской Федерации», Закон Астраханской области от 22.12.2016 № 85/2016-ОЗ «О мерах социальной поддержки и социальной помощи отдельным категориям граждан в Астраханской области» (инициирован Губернатором Астраханской области)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Размер пособия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2018 году</w:t>
            </w:r>
          </w:p>
        </w:tc>
        <w:tc>
          <w:tcPr>
            <w:tcW w:w="24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10382 руб.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прожиточный минимум для детей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, установленный в субъекте Российской Федерации за второй квартал года, предшествующего году обращения за назначением указанной выплаты)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10382 руб.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прожиточный минимум для детей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, установленный в субъекте Российской Федерации за второй квартал года, предшествующего году обращения за назначением указанной выплаты).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Выплата осуществляется из средств материнского (семейного) капитала</w:t>
            </w:r>
          </w:p>
        </w:tc>
        <w:tc>
          <w:tcPr>
            <w:tcW w:w="25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4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настоящее время –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10325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руб.</w:t>
            </w:r>
            <w:r>
              <w:rPr>
                <w:rFonts w:cs="Times New Roman" w:ascii="Times New Roman" w:hAnsi="Times New Roman"/>
              </w:rPr>
              <w:t>на каждого третьего или последующего ребенка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(текущий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прожиточный минимум в Астраханской области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, установленный для детей). Размер будет меняться ежеквартально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Срок выплаты пособия</w:t>
            </w:r>
          </w:p>
        </w:tc>
        <w:tc>
          <w:tcPr>
            <w:tcW w:w="24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 достижения ребенком возраста полутора лет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 достижения ребенком возраста полутора лет</w:t>
            </w:r>
          </w:p>
        </w:tc>
        <w:tc>
          <w:tcPr>
            <w:tcW w:w="25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4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</w:rPr>
              <w:t>до достижения каждого третьего или последующего ребенка возраста трех лет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Размер среднедушевого дохода семьи, учитываемый при назначении выплаты в 2018 году</w:t>
            </w:r>
          </w:p>
        </w:tc>
        <w:tc>
          <w:tcPr>
            <w:tcW w:w="24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15210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руб.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(размер среднедушевого дохода семьи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не должен превышать 1,5-кратную величину прожиточного минимума трудоспособного населения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, установленную в субъекте Российской Федерации за второй квартал года, предшествующего году обращения за назначением выплаты)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15210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руб.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(размер среднедушевого дохода семьи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не должен превышать 1,5-кратную величину прожиточного минимума трудоспособного населения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, установленную в субъекте Российской Федерации за второй квартал года, предшествующего году обращения за назначением выплаты)</w:t>
            </w:r>
          </w:p>
        </w:tc>
        <w:tc>
          <w:tcPr>
            <w:tcW w:w="25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 настоящее время – не более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9516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руб.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(размер среднедушевого дохода семьи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не должен превышать величину прожиточного минимума в расчете на душу населения по Астраханской области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, действующей на дату обращения за назначением выплаты). Размер будет меняться ежеквартально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Члены семьи, учитываемые при расчете среднедушевого дохода семьи</w:t>
            </w:r>
          </w:p>
        </w:tc>
        <w:tc>
          <w:tcPr>
            <w:tcW w:w="24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</w:t>
            </w:r>
          </w:p>
        </w:tc>
        <w:tc>
          <w:tcPr>
            <w:tcW w:w="25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совместно проживающие и ведущие совместное хозяйство супруги, их дети и родители, усыновители и усыновленные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Иные условия назначения выплаты</w:t>
            </w:r>
          </w:p>
        </w:tc>
        <w:tc>
          <w:tcPr>
            <w:tcW w:w="24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317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1) Право на получение выплаты имеют граждане Российской Федерации, постоянно проживающие на территории Российской Федерации;</w:t>
            </w:r>
          </w:p>
          <w:p>
            <w:pPr>
              <w:pStyle w:val="Normal"/>
              <w:spacing w:lineRule="auto" w:line="240" w:before="0" w:after="0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2) Выплата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Право на получение выплаты имеют:</w:t>
            </w:r>
          </w:p>
          <w:p>
            <w:pPr>
              <w:pStyle w:val="Normal"/>
              <w:spacing w:lineRule="auto" w:line="240" w:before="0" w:after="0"/>
              <w:ind w:firstLine="317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1) граждане Российской Федерации, постоянно проживающие на территории Российской Федерации;</w:t>
            </w:r>
          </w:p>
          <w:p>
            <w:pPr>
              <w:pStyle w:val="Normal"/>
              <w:spacing w:lineRule="auto" w:line="240" w:before="0" w:after="0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2) гражданине, получившие государственный сертификат на материнский (семейный) капитал в соответствии с Федеральным законом от 29 декабря 2006 года № 256-ФЗ «О дополнительных мерах государственной поддержки семей, имеющих детей»</w:t>
            </w:r>
          </w:p>
        </w:tc>
        <w:tc>
          <w:tcPr>
            <w:tcW w:w="25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295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Право на получение выплаты предоставляется:</w:t>
            </w:r>
          </w:p>
          <w:p>
            <w:pPr>
              <w:pStyle w:val="Normal"/>
              <w:spacing w:lineRule="auto" w:line="240" w:before="0" w:after="0"/>
              <w:ind w:firstLine="295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1) семьям, в которых совместно проживают являющиеся гражданами Российской Федерации матери (отцы), не состоящие в зарегистрированном браке или состоящие в зарегистрированном браке супруги и не менее троих детей в возрасте до 18 лет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обучения. При этом для признания семьи многодетной учитываются пасынки и падчерицы;</w:t>
            </w:r>
          </w:p>
          <w:p>
            <w:pPr>
              <w:pStyle w:val="Normal"/>
              <w:spacing w:lineRule="auto" w:line="240" w:before="0" w:after="0"/>
              <w:ind w:firstLine="295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2) многодетным семьям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при условии проживания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родителей, состоящих в браке или не состоящего в браке родителя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 территории Астраханской области не менее трех лет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Орган, предоставляющий выплату</w:t>
            </w:r>
          </w:p>
        </w:tc>
        <w:tc>
          <w:tcPr>
            <w:tcW w:w="24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Министерство социального развития и труда Астраханской области (через Центры социальной поддержки населения в районах г. Астрахани и районах Астраханской области)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отделение Пенсионного фонда Российской Федерации по Астраханской области</w:t>
            </w:r>
          </w:p>
        </w:tc>
        <w:tc>
          <w:tcPr>
            <w:tcW w:w="25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Министерство социального развития и труда Астраханской области (через Центры социальной поддержки населения в районах г. Астрахани и районах Астраханской области)</w:t>
            </w:r>
          </w:p>
        </w:tc>
      </w:tr>
      <w:tr>
        <w:trPr/>
        <w:tc>
          <w:tcPr>
            <w:tcW w:w="21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24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25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Астраханской области с софинансированием  из федерального бюджета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3b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f72f9"/>
    <w:rPr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b08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236c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53b5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.mail.ru/cgi-bin/link?check=1&amp;refresh=1&amp;cnf=0dfe4b&amp;url=http%3A%2F%2Fmoydeputat.ru%2Fzhiterev30&amp;msgid=15102219770000000175&amp;x-email=zhiterev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LibreOffice/5.3.6.1$Windows_x86 LibreOffice_project/686f202eff87ef707079aeb7f485847613344eb7</Application>
  <Pages>4</Pages>
  <Words>937</Words>
  <Characters>6413</Characters>
  <CharactersWithSpaces>7421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2018-01-20T08:54:00Z</dcterms:created>
  <dc:creator>Илья</dc:creator>
  <dc:description/>
  <dc:language>ru-RU</dc:language>
  <cp:lastModifiedBy/>
  <dcterms:modified xsi:type="dcterms:W3CDTF">2018-01-24T14:36:04Z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